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180EF" w14:textId="260804BE" w:rsidR="00301B71" w:rsidRDefault="006C69B8" w:rsidP="006C69B8">
      <w:r>
        <w:t>Changing Culture and Winning a Top Workplace Award</w:t>
      </w:r>
    </w:p>
    <w:p w14:paraId="716E65A3" w14:textId="32A263CB" w:rsidR="006C69B8" w:rsidRDefault="006C69B8" w:rsidP="006C69B8">
      <w:pPr>
        <w:pStyle w:val="ListParagraph"/>
        <w:numPr>
          <w:ilvl w:val="0"/>
          <w:numId w:val="2"/>
        </w:numPr>
      </w:pPr>
      <w:r>
        <w:t>Identify key cultural drivers that influence employee engagement and workplace satisfaction.</w:t>
      </w:r>
    </w:p>
    <w:p w14:paraId="6426A0E6" w14:textId="70CDD3BF" w:rsidR="006C69B8" w:rsidRDefault="006C69B8" w:rsidP="006C69B8">
      <w:pPr>
        <w:pStyle w:val="ListParagraph"/>
        <w:numPr>
          <w:ilvl w:val="0"/>
          <w:numId w:val="2"/>
        </w:numPr>
      </w:pPr>
      <w:r>
        <w:t>Measure the impact of culture and engagement initiatives using meaningful, easy-to-communicate metrics.</w:t>
      </w:r>
    </w:p>
    <w:p w14:paraId="19D38577" w14:textId="341EA483" w:rsidR="006C69B8" w:rsidRDefault="006C69B8" w:rsidP="006C69B8">
      <w:pPr>
        <w:pStyle w:val="ListParagraph"/>
        <w:numPr>
          <w:ilvl w:val="0"/>
          <w:numId w:val="2"/>
        </w:numPr>
      </w:pPr>
      <w:r>
        <w:t>Compare strategies that enhance workplace culture and strengthen their organization’s competitiveness for a Top Workplace Award.</w:t>
      </w:r>
    </w:p>
    <w:p w14:paraId="2F3201ED" w14:textId="762D8E78" w:rsidR="006C69B8" w:rsidRDefault="006C69B8" w:rsidP="006C69B8">
      <w:r>
        <w:t>Environmental Education on a Shoestring Budget</w:t>
      </w:r>
    </w:p>
    <w:p w14:paraId="6ACDA1ED" w14:textId="41AE8471" w:rsidR="006C69B8" w:rsidRDefault="006C69B8" w:rsidP="006C69B8">
      <w:pPr>
        <w:pStyle w:val="ListParagraph"/>
        <w:numPr>
          <w:ilvl w:val="0"/>
          <w:numId w:val="3"/>
        </w:numPr>
      </w:pPr>
      <w:r w:rsidRPr="006C69B8">
        <w:t>List 3 simple environmental education lessons f</w:t>
      </w:r>
      <w:r>
        <w:t>rom</w:t>
      </w:r>
      <w:r w:rsidRPr="006C69B8">
        <w:t xml:space="preserve"> th</w:t>
      </w:r>
      <w:r>
        <w:t>eir institutions.</w:t>
      </w:r>
    </w:p>
    <w:p w14:paraId="477D793D" w14:textId="28DEFC42" w:rsidR="006C69B8" w:rsidRDefault="006C69B8" w:rsidP="006C69B8">
      <w:pPr>
        <w:pStyle w:val="ListParagraph"/>
        <w:numPr>
          <w:ilvl w:val="0"/>
          <w:numId w:val="3"/>
        </w:numPr>
      </w:pPr>
      <w:r>
        <w:t>Plan engaging environmental lessons using low cost items.</w:t>
      </w:r>
    </w:p>
    <w:p w14:paraId="0A8ECBC7" w14:textId="2E9F9919" w:rsidR="006C69B8" w:rsidRDefault="006C69B8" w:rsidP="006C69B8">
      <w:pPr>
        <w:pStyle w:val="ListParagraph"/>
        <w:numPr>
          <w:ilvl w:val="0"/>
          <w:numId w:val="3"/>
        </w:numPr>
      </w:pPr>
      <w:r>
        <w:t>Construct educational props out of easy to find items in the home and office.</w:t>
      </w:r>
    </w:p>
    <w:p w14:paraId="7963E280" w14:textId="4F99DA6B" w:rsidR="006C69B8" w:rsidRDefault="006C69B8" w:rsidP="006C69B8">
      <w:r>
        <w:t>Synthetic Turf Athletic Fields 101</w:t>
      </w:r>
    </w:p>
    <w:p w14:paraId="7C3DA146" w14:textId="715D007C" w:rsidR="006C69B8" w:rsidRDefault="006C69B8" w:rsidP="006C69B8">
      <w:pPr>
        <w:pStyle w:val="ListParagraph"/>
        <w:numPr>
          <w:ilvl w:val="0"/>
          <w:numId w:val="4"/>
        </w:numPr>
      </w:pPr>
      <w:r>
        <w:t>Analyze player safety issues with sports fields.</w:t>
      </w:r>
    </w:p>
    <w:p w14:paraId="4E28E739" w14:textId="4E7324CB" w:rsidR="006C69B8" w:rsidRDefault="006C69B8" w:rsidP="006C69B8">
      <w:pPr>
        <w:pStyle w:val="ListParagraph"/>
        <w:numPr>
          <w:ilvl w:val="0"/>
          <w:numId w:val="4"/>
        </w:numPr>
      </w:pPr>
      <w:r>
        <w:t>Describe the benefits of using synthetic turf field vs. natural turf field.</w:t>
      </w:r>
    </w:p>
    <w:p w14:paraId="5B346B40" w14:textId="0040C77A" w:rsidR="006C69B8" w:rsidRDefault="006C69B8" w:rsidP="006C69B8">
      <w:pPr>
        <w:pStyle w:val="ListParagraph"/>
        <w:numPr>
          <w:ilvl w:val="0"/>
          <w:numId w:val="4"/>
        </w:numPr>
      </w:pPr>
      <w:r>
        <w:t>Recall 3 types of infill options.</w:t>
      </w:r>
    </w:p>
    <w:p w14:paraId="0CD4D907" w14:textId="121A5CD5" w:rsidR="006C69B8" w:rsidRDefault="00E91574" w:rsidP="006C69B8">
      <w:r>
        <w:t>More than ChatGPT: How Can AI Help Rec Departments Deliver Great Experiences</w:t>
      </w:r>
    </w:p>
    <w:p w14:paraId="6E3839E7" w14:textId="31F1B58E" w:rsidR="00E91574" w:rsidRDefault="00E91574" w:rsidP="00E91574">
      <w:pPr>
        <w:pStyle w:val="ListParagraph"/>
        <w:numPr>
          <w:ilvl w:val="0"/>
          <w:numId w:val="5"/>
        </w:numPr>
      </w:pPr>
      <w:r>
        <w:t>Interpret foundational AI concepts in the context of parks and recreation, like Large Language Models, data security, and the concept of AI agents.</w:t>
      </w:r>
    </w:p>
    <w:p w14:paraId="37E32E89" w14:textId="7A9791B7" w:rsidR="00E91574" w:rsidRDefault="00E91574" w:rsidP="00E91574">
      <w:pPr>
        <w:pStyle w:val="ListParagraph"/>
        <w:numPr>
          <w:ilvl w:val="0"/>
          <w:numId w:val="5"/>
        </w:numPr>
      </w:pPr>
      <w:r>
        <w:t>Evaluate actual use cases of AI in active such as live translation for customer support, natural language-based reporting, and personalized marketing and community engagement.</w:t>
      </w:r>
    </w:p>
    <w:p w14:paraId="1CC954C4" w14:textId="47B80C60" w:rsidR="00E91574" w:rsidRDefault="00E91574" w:rsidP="00E91574">
      <w:pPr>
        <w:pStyle w:val="ListParagraph"/>
        <w:numPr>
          <w:ilvl w:val="0"/>
          <w:numId w:val="5"/>
        </w:numPr>
      </w:pPr>
      <w:r>
        <w:t>Create a roadmap for implementing AI within your department’s policy environment, whether your city has adopted official AI guidelines or has yet to crystallize formal guidelines.</w:t>
      </w:r>
    </w:p>
    <w:p w14:paraId="229A7E6E" w14:textId="0EEBD8A4" w:rsidR="00E91574" w:rsidRDefault="00E91574" w:rsidP="00E91574">
      <w:r>
        <w:t>Inclusive Play Matters: Evidence-Based Design Best Practices for Play</w:t>
      </w:r>
    </w:p>
    <w:p w14:paraId="7F3B1D12" w14:textId="10EA99EA" w:rsidR="00E91574" w:rsidRDefault="00E91574" w:rsidP="00E91574">
      <w:pPr>
        <w:pStyle w:val="ListParagraph"/>
        <w:numPr>
          <w:ilvl w:val="0"/>
          <w:numId w:val="6"/>
        </w:numPr>
      </w:pPr>
      <w:r>
        <w:t>Define playground terminology to clarify the differences between accessible design, universal design, inclusion, and the 7 principles of Inclusive Playground Design.</w:t>
      </w:r>
    </w:p>
    <w:p w14:paraId="34514060" w14:textId="50AF9603" w:rsidR="00E91574" w:rsidRDefault="00E91574" w:rsidP="00E91574">
      <w:pPr>
        <w:pStyle w:val="ListParagraph"/>
        <w:numPr>
          <w:ilvl w:val="0"/>
          <w:numId w:val="6"/>
        </w:numPr>
      </w:pPr>
      <w:r>
        <w:t>Distinguish at least 3 evidence-based design best practices that thoughtfully meet the physical, social-emotional, sensory, cognitive, and communicative needs of all children, including those with disabilities in playground settings.</w:t>
      </w:r>
    </w:p>
    <w:p w14:paraId="4D1BC750" w14:textId="6A810348" w:rsidR="00E91574" w:rsidRDefault="00E91574" w:rsidP="00E91574">
      <w:pPr>
        <w:pStyle w:val="ListParagraph"/>
        <w:numPr>
          <w:ilvl w:val="0"/>
          <w:numId w:val="6"/>
        </w:numPr>
      </w:pPr>
      <w:r>
        <w:t>Identify the positive benefits and impact that inclusive play destinations have on community health and wellness.</w:t>
      </w:r>
    </w:p>
    <w:p w14:paraId="13B69532" w14:textId="1B986BFF" w:rsidR="00E91574" w:rsidRDefault="00E91574" w:rsidP="00E91574">
      <w:r>
        <w:lastRenderedPageBreak/>
        <w:t>Quieting the Noise: Shifting from Ego to Purpose in Parks and Recreation Lead</w:t>
      </w:r>
    </w:p>
    <w:p w14:paraId="16697BFF" w14:textId="24169F7C" w:rsidR="00E91574" w:rsidRDefault="00E91574" w:rsidP="00E91574">
      <w:pPr>
        <w:pStyle w:val="ListParagraph"/>
        <w:numPr>
          <w:ilvl w:val="0"/>
          <w:numId w:val="7"/>
        </w:numPr>
      </w:pPr>
      <w:r>
        <w:t>Differentiate between ego and purpose</w:t>
      </w:r>
    </w:p>
    <w:p w14:paraId="46C68929" w14:textId="25D3C30C" w:rsidR="00E91574" w:rsidRDefault="00E91574" w:rsidP="00E91574">
      <w:pPr>
        <w:pStyle w:val="ListParagraph"/>
        <w:numPr>
          <w:ilvl w:val="0"/>
          <w:numId w:val="7"/>
        </w:numPr>
      </w:pPr>
      <w:r>
        <w:t xml:space="preserve">Practice listening </w:t>
      </w:r>
    </w:p>
    <w:p w14:paraId="6DE6CC2D" w14:textId="7A408A1C" w:rsidR="00E91574" w:rsidRDefault="00E91574" w:rsidP="00E91574">
      <w:pPr>
        <w:pStyle w:val="ListParagraph"/>
        <w:numPr>
          <w:ilvl w:val="0"/>
          <w:numId w:val="7"/>
        </w:numPr>
      </w:pPr>
      <w:r>
        <w:t>Identify personal triggers</w:t>
      </w:r>
    </w:p>
    <w:p w14:paraId="16ADD4B1" w14:textId="2E2C3510" w:rsidR="00E91574" w:rsidRDefault="00E91574" w:rsidP="00E91574">
      <w:r>
        <w:t>Park by Park: Building a Risk-Based Parks Asset Portfolio from Ground Up</w:t>
      </w:r>
    </w:p>
    <w:p w14:paraId="1D03B057" w14:textId="274E7567" w:rsidR="00E91574" w:rsidRDefault="00E91574" w:rsidP="00E91574">
      <w:pPr>
        <w:pStyle w:val="ListParagraph"/>
        <w:numPr>
          <w:ilvl w:val="0"/>
          <w:numId w:val="8"/>
        </w:numPr>
      </w:pPr>
      <w:r>
        <w:t xml:space="preserve">Compare park assets, use </w:t>
      </w:r>
      <w:r w:rsidR="00B156DA">
        <w:t>simple field scoring and rank assets based on risk and impact.</w:t>
      </w:r>
    </w:p>
    <w:p w14:paraId="3709675F" w14:textId="6E7E50C2" w:rsidR="00B156DA" w:rsidRDefault="00B156DA" w:rsidP="00E91574">
      <w:pPr>
        <w:pStyle w:val="ListParagraph"/>
        <w:numPr>
          <w:ilvl w:val="0"/>
          <w:numId w:val="8"/>
        </w:numPr>
      </w:pPr>
      <w:r>
        <w:t>Create a parks asset inventory and use simple steps to rate condition.</w:t>
      </w:r>
    </w:p>
    <w:p w14:paraId="66338EC0" w14:textId="0B9048A6" w:rsidR="00B156DA" w:rsidRDefault="00B156DA" w:rsidP="00E91574">
      <w:pPr>
        <w:pStyle w:val="ListParagraph"/>
        <w:numPr>
          <w:ilvl w:val="0"/>
          <w:numId w:val="8"/>
        </w:numPr>
      </w:pPr>
      <w:r>
        <w:t>Arrange park assets into categories, apply field rating questions, and use simple risk logic to guide decisions.</w:t>
      </w:r>
    </w:p>
    <w:p w14:paraId="5D1C58F0" w14:textId="405230D4" w:rsidR="00B156DA" w:rsidRDefault="00B156DA" w:rsidP="00B156DA">
      <w:r>
        <w:t>The Power of Mentoring: Speed Mentoring with Directors</w:t>
      </w:r>
    </w:p>
    <w:p w14:paraId="18AC0F46" w14:textId="53F4E016" w:rsidR="00B156DA" w:rsidRDefault="00B156DA" w:rsidP="00B156DA">
      <w:pPr>
        <w:pStyle w:val="ListParagraph"/>
        <w:numPr>
          <w:ilvl w:val="0"/>
          <w:numId w:val="9"/>
        </w:numPr>
      </w:pPr>
      <w:r>
        <w:t>Apply at least one piece of professional advice or leadership insight gained from a Director/Assistant Director into a personal career development action item.</w:t>
      </w:r>
    </w:p>
    <w:p w14:paraId="28EFDC47" w14:textId="0C9F959F" w:rsidR="00B156DA" w:rsidRDefault="00B156DA" w:rsidP="00B156DA">
      <w:pPr>
        <w:pStyle w:val="ListParagraph"/>
        <w:numPr>
          <w:ilvl w:val="0"/>
          <w:numId w:val="9"/>
        </w:numPr>
      </w:pPr>
      <w:r>
        <w:t>Explain the career trajectory or leadership philosophy of one industry leader they networked with.</w:t>
      </w:r>
    </w:p>
    <w:p w14:paraId="46C673F2" w14:textId="1AECA740" w:rsidR="00B156DA" w:rsidRDefault="00B156DA" w:rsidP="00B156DA">
      <w:pPr>
        <w:pStyle w:val="ListParagraph"/>
        <w:numPr>
          <w:ilvl w:val="0"/>
          <w:numId w:val="9"/>
        </w:numPr>
      </w:pPr>
      <w:r>
        <w:t>Identify at least one trend or challenge facing Parks and Recreation agencies, based on conversations with the Directors/Assistant Directors.</w:t>
      </w:r>
    </w:p>
    <w:p w14:paraId="3776F9CD" w14:textId="234F76ED" w:rsidR="00B156DA" w:rsidRDefault="00B156DA" w:rsidP="00B156DA">
      <w:r>
        <w:t>Where Parks Meet People:  A Modern Marketing Playbook</w:t>
      </w:r>
    </w:p>
    <w:p w14:paraId="13C51DE2" w14:textId="5CCF6E56" w:rsidR="00B156DA" w:rsidRDefault="00B156DA" w:rsidP="00B156DA">
      <w:pPr>
        <w:pStyle w:val="ListParagraph"/>
        <w:numPr>
          <w:ilvl w:val="0"/>
          <w:numId w:val="10"/>
        </w:numPr>
      </w:pPr>
      <w:r>
        <w:t>Analyze their current parks communication and apply a clear-message framework to improve readability and citizen engagement.</w:t>
      </w:r>
    </w:p>
    <w:p w14:paraId="5F5F06B0" w14:textId="2104579C" w:rsidR="00B156DA" w:rsidRDefault="00B156DA" w:rsidP="00B156DA">
      <w:pPr>
        <w:pStyle w:val="ListParagraph"/>
        <w:numPr>
          <w:ilvl w:val="0"/>
          <w:numId w:val="10"/>
        </w:numPr>
      </w:pPr>
      <w:r>
        <w:t>Demonstrate modern marking tools like AI, Social Media, and analytics to save time and maximize impact.</w:t>
      </w:r>
    </w:p>
    <w:p w14:paraId="5C5E8FC0" w14:textId="2BC9DC7F" w:rsidR="00B156DA" w:rsidRDefault="00B156DA" w:rsidP="00B156DA">
      <w:pPr>
        <w:pStyle w:val="ListParagraph"/>
        <w:numPr>
          <w:ilvl w:val="0"/>
          <w:numId w:val="10"/>
        </w:numPr>
      </w:pPr>
      <w:r>
        <w:t>Formulate a marketing strategy that connects with intended communities and builds partnerships between cities and citizens.</w:t>
      </w:r>
    </w:p>
    <w:p w14:paraId="3AE66639" w14:textId="1C9BFCEA" w:rsidR="00B156DA" w:rsidRDefault="00B156DA" w:rsidP="00B156DA">
      <w:r>
        <w:t>Building Aquatic Play Spaces: From Concept to Community</w:t>
      </w:r>
    </w:p>
    <w:p w14:paraId="5A915C32" w14:textId="24D0AD3A" w:rsidR="00B156DA" w:rsidRDefault="00B156DA" w:rsidP="00B156DA">
      <w:pPr>
        <w:pStyle w:val="ListParagraph"/>
        <w:numPr>
          <w:ilvl w:val="0"/>
          <w:numId w:val="11"/>
        </w:numPr>
      </w:pPr>
      <w:r>
        <w:t>Use key design considerations to plan for an aquatic play project.</w:t>
      </w:r>
    </w:p>
    <w:p w14:paraId="29F0EE4A" w14:textId="0668E5B4" w:rsidR="00B156DA" w:rsidRDefault="00B156DA" w:rsidP="00B156DA">
      <w:pPr>
        <w:pStyle w:val="ListParagraph"/>
        <w:numPr>
          <w:ilvl w:val="0"/>
          <w:numId w:val="11"/>
        </w:numPr>
      </w:pPr>
      <w:r>
        <w:t>Describe play theory to differentiate age-appropriate zones and chose appropriate feature selection.</w:t>
      </w:r>
    </w:p>
    <w:p w14:paraId="31867412" w14:textId="33A53653" w:rsidR="00B156DA" w:rsidRDefault="00B156DA" w:rsidP="00B156DA">
      <w:pPr>
        <w:pStyle w:val="ListParagraph"/>
        <w:numPr>
          <w:ilvl w:val="0"/>
          <w:numId w:val="11"/>
        </w:numPr>
      </w:pPr>
      <w:r>
        <w:t>Recall key success factors in an aquatic play space.</w:t>
      </w:r>
    </w:p>
    <w:p w14:paraId="0482E4CD" w14:textId="06D916A3" w:rsidR="00B156DA" w:rsidRDefault="00B156DA" w:rsidP="00B156DA">
      <w:r>
        <w:t xml:space="preserve">The Generation </w:t>
      </w:r>
      <w:r w:rsidR="00AD1A3F">
        <w:t>of NOW! Past, Present, and Gen A to Z!</w:t>
      </w:r>
    </w:p>
    <w:p w14:paraId="0945474A" w14:textId="5EA4EAE3" w:rsidR="00AD1A3F" w:rsidRDefault="00AD1A3F" w:rsidP="00AD1A3F">
      <w:pPr>
        <w:pStyle w:val="ListParagraph"/>
        <w:numPr>
          <w:ilvl w:val="0"/>
          <w:numId w:val="12"/>
        </w:numPr>
      </w:pPr>
      <w:r>
        <w:t xml:space="preserve">Identify </w:t>
      </w:r>
      <w:r w:rsidR="00AA2AD3">
        <w:t>your</w:t>
      </w:r>
      <w:r>
        <w:t xml:space="preserve"> community; Who are </w:t>
      </w:r>
      <w:r w:rsidR="00AA2AD3">
        <w:t>you</w:t>
      </w:r>
      <w:r>
        <w:t xml:space="preserve"> targeting</w:t>
      </w:r>
      <w:r w:rsidR="00AA2AD3">
        <w:t xml:space="preserve"> and what are their wants, needs, and interests.</w:t>
      </w:r>
    </w:p>
    <w:p w14:paraId="16B57D7C" w14:textId="20554360" w:rsidR="00AA2AD3" w:rsidRDefault="00AA2AD3" w:rsidP="00AD1A3F">
      <w:pPr>
        <w:pStyle w:val="ListParagraph"/>
        <w:numPr>
          <w:ilvl w:val="0"/>
          <w:numId w:val="12"/>
        </w:numPr>
      </w:pPr>
      <w:r>
        <w:lastRenderedPageBreak/>
        <w:t>Create new and innovative programs for your organization.</w:t>
      </w:r>
    </w:p>
    <w:p w14:paraId="4B9DE75E" w14:textId="13105535" w:rsidR="00AA2AD3" w:rsidRDefault="00AA2AD3" w:rsidP="00AD1A3F">
      <w:pPr>
        <w:pStyle w:val="ListParagraph"/>
        <w:numPr>
          <w:ilvl w:val="0"/>
          <w:numId w:val="12"/>
        </w:numPr>
      </w:pPr>
      <w:r>
        <w:t>Design a unique class to implement within your organization.</w:t>
      </w:r>
    </w:p>
    <w:p w14:paraId="065A1F93" w14:textId="5F701E89" w:rsidR="00AA2AD3" w:rsidRDefault="00AA2AD3" w:rsidP="00AA2AD3">
      <w:r>
        <w:t xml:space="preserve">From Master Plan to Masterpiece: Funding, Feasibility, and </w:t>
      </w:r>
      <w:r w:rsidR="007F3EAC">
        <w:t>Prioritization</w:t>
      </w:r>
    </w:p>
    <w:p w14:paraId="727D5526" w14:textId="18DFF7AB" w:rsidR="00AA2AD3" w:rsidRDefault="00AA2AD3" w:rsidP="00AA2AD3">
      <w:pPr>
        <w:pStyle w:val="ListParagraph"/>
        <w:numPr>
          <w:ilvl w:val="0"/>
          <w:numId w:val="13"/>
        </w:numPr>
      </w:pPr>
      <w:r>
        <w:t xml:space="preserve">Compare the primary </w:t>
      </w:r>
      <w:r w:rsidR="007F3EAC">
        <w:t>difference between tax notes, certificates of obligation, and bonds (sales tax and general obligation) to determine ideal projects for each and learn when debt instruments are most appropriate and if grants can and should be utilized.</w:t>
      </w:r>
    </w:p>
    <w:p w14:paraId="56CBC4C1" w14:textId="4EAED7D3" w:rsidR="007F3EAC" w:rsidRDefault="007F3EAC" w:rsidP="00AA2AD3">
      <w:pPr>
        <w:pStyle w:val="ListParagraph"/>
        <w:numPr>
          <w:ilvl w:val="0"/>
          <w:numId w:val="13"/>
        </w:numPr>
      </w:pPr>
      <w:r>
        <w:t>Analyze site feasibility for proposed park improvements, including location analysis, space constraints, environmental factors and community demand alignment.</w:t>
      </w:r>
    </w:p>
    <w:p w14:paraId="5B803EC5" w14:textId="4FF96350" w:rsidR="007F3EAC" w:rsidRDefault="007F3EAC" w:rsidP="00AA2AD3">
      <w:pPr>
        <w:pStyle w:val="ListParagraph"/>
        <w:numPr>
          <w:ilvl w:val="0"/>
          <w:numId w:val="13"/>
        </w:numPr>
      </w:pPr>
      <w:r>
        <w:t>Construct a prioritized project implementation roadmap by evaluating urgency, impact, cost, and funding readiness to sequence Master Plan recommendations effectively.</w:t>
      </w:r>
    </w:p>
    <w:p w14:paraId="69BF1E80" w14:textId="7D076639" w:rsidR="007F3EAC" w:rsidRDefault="007F3EAC" w:rsidP="007F3EAC">
      <w:r>
        <w:t>Programming the Past: Public History, Recreation, and Community Development</w:t>
      </w:r>
    </w:p>
    <w:p w14:paraId="6156A079" w14:textId="2F0F3FA9" w:rsidR="007F3EAC" w:rsidRDefault="007F3EAC" w:rsidP="007F3EAC">
      <w:pPr>
        <w:pStyle w:val="ListParagraph"/>
        <w:numPr>
          <w:ilvl w:val="0"/>
          <w:numId w:val="14"/>
        </w:numPr>
      </w:pPr>
      <w:r>
        <w:t>Evaluate historic significance of their area and any gaps in representation.</w:t>
      </w:r>
    </w:p>
    <w:p w14:paraId="55745E1E" w14:textId="2FBE577D" w:rsidR="007F3EAC" w:rsidRDefault="007F3EAC" w:rsidP="007F3EAC">
      <w:pPr>
        <w:pStyle w:val="ListParagraph"/>
        <w:numPr>
          <w:ilvl w:val="0"/>
          <w:numId w:val="14"/>
        </w:numPr>
      </w:pPr>
      <w:r>
        <w:t>Identify potential partnerships in their town</w:t>
      </w:r>
    </w:p>
    <w:p w14:paraId="10412599" w14:textId="5E2B8979" w:rsidR="007F3EAC" w:rsidRDefault="007F3EAC" w:rsidP="007F3EAC">
      <w:pPr>
        <w:pStyle w:val="ListParagraph"/>
        <w:numPr>
          <w:ilvl w:val="0"/>
          <w:numId w:val="14"/>
        </w:numPr>
      </w:pPr>
      <w:r>
        <w:t>Create possible recreation events that reflect local history/culture.</w:t>
      </w:r>
    </w:p>
    <w:p w14:paraId="2CA9F369" w14:textId="77777777" w:rsidR="00E91574" w:rsidRPr="006C69B8" w:rsidRDefault="00E91574" w:rsidP="00E91574"/>
    <w:sectPr w:rsidR="00E91574" w:rsidRPr="006C6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84F35"/>
    <w:multiLevelType w:val="hybridMultilevel"/>
    <w:tmpl w:val="B56C7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D3F94"/>
    <w:multiLevelType w:val="hybridMultilevel"/>
    <w:tmpl w:val="C4DE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E2A04"/>
    <w:multiLevelType w:val="hybridMultilevel"/>
    <w:tmpl w:val="2C9A9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45814"/>
    <w:multiLevelType w:val="hybridMultilevel"/>
    <w:tmpl w:val="7F20548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261E18AF"/>
    <w:multiLevelType w:val="hybridMultilevel"/>
    <w:tmpl w:val="5B8E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3C7E70"/>
    <w:multiLevelType w:val="hybridMultilevel"/>
    <w:tmpl w:val="BEDA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03165"/>
    <w:multiLevelType w:val="hybridMultilevel"/>
    <w:tmpl w:val="598A8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0803A7"/>
    <w:multiLevelType w:val="hybridMultilevel"/>
    <w:tmpl w:val="BCD0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647DEB"/>
    <w:multiLevelType w:val="hybridMultilevel"/>
    <w:tmpl w:val="0A6C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9E33A7"/>
    <w:multiLevelType w:val="hybridMultilevel"/>
    <w:tmpl w:val="9ACE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E36E2"/>
    <w:multiLevelType w:val="hybridMultilevel"/>
    <w:tmpl w:val="92F0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812C88"/>
    <w:multiLevelType w:val="hybridMultilevel"/>
    <w:tmpl w:val="29B4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560C36"/>
    <w:multiLevelType w:val="hybridMultilevel"/>
    <w:tmpl w:val="3FC61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C668DF"/>
    <w:multiLevelType w:val="hybridMultilevel"/>
    <w:tmpl w:val="F19E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95753">
    <w:abstractNumId w:val="12"/>
  </w:num>
  <w:num w:numId="2" w16cid:durableId="721515451">
    <w:abstractNumId w:val="4"/>
  </w:num>
  <w:num w:numId="3" w16cid:durableId="1720589176">
    <w:abstractNumId w:val="0"/>
  </w:num>
  <w:num w:numId="4" w16cid:durableId="1585720155">
    <w:abstractNumId w:val="13"/>
  </w:num>
  <w:num w:numId="5" w16cid:durableId="1743478251">
    <w:abstractNumId w:val="7"/>
  </w:num>
  <w:num w:numId="6" w16cid:durableId="783764610">
    <w:abstractNumId w:val="10"/>
  </w:num>
  <w:num w:numId="7" w16cid:durableId="1957565872">
    <w:abstractNumId w:val="5"/>
  </w:num>
  <w:num w:numId="8" w16cid:durableId="325208069">
    <w:abstractNumId w:val="6"/>
  </w:num>
  <w:num w:numId="9" w16cid:durableId="1116758773">
    <w:abstractNumId w:val="1"/>
  </w:num>
  <w:num w:numId="10" w16cid:durableId="19013428">
    <w:abstractNumId w:val="9"/>
  </w:num>
  <w:num w:numId="11" w16cid:durableId="1574847760">
    <w:abstractNumId w:val="8"/>
  </w:num>
  <w:num w:numId="12" w16cid:durableId="2041085050">
    <w:abstractNumId w:val="2"/>
  </w:num>
  <w:num w:numId="13" w16cid:durableId="1467166483">
    <w:abstractNumId w:val="3"/>
  </w:num>
  <w:num w:numId="14" w16cid:durableId="9377614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9B8"/>
    <w:rsid w:val="00301B71"/>
    <w:rsid w:val="006C69B8"/>
    <w:rsid w:val="00772ACC"/>
    <w:rsid w:val="007F3EAC"/>
    <w:rsid w:val="008771C5"/>
    <w:rsid w:val="00AA2AD3"/>
    <w:rsid w:val="00AD1A3F"/>
    <w:rsid w:val="00B156DA"/>
    <w:rsid w:val="00E37B90"/>
    <w:rsid w:val="00E9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DC48D"/>
  <w15:chartTrackingRefBased/>
  <w15:docId w15:val="{1F1E22F4-D118-4CDE-AC73-C7CABCB9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9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9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9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9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9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9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9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9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9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9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9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9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9B8"/>
    <w:rPr>
      <w:rFonts w:eastAsiaTheme="majorEastAsia" w:cstheme="majorBidi"/>
      <w:color w:val="272727" w:themeColor="text1" w:themeTint="D8"/>
    </w:rPr>
  </w:style>
  <w:style w:type="paragraph" w:styleId="Title">
    <w:name w:val="Title"/>
    <w:basedOn w:val="Normal"/>
    <w:next w:val="Normal"/>
    <w:link w:val="TitleChar"/>
    <w:uiPriority w:val="10"/>
    <w:qFormat/>
    <w:rsid w:val="006C6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9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9B8"/>
    <w:pPr>
      <w:spacing w:before="160"/>
      <w:jc w:val="center"/>
    </w:pPr>
    <w:rPr>
      <w:i/>
      <w:iCs/>
      <w:color w:val="404040" w:themeColor="text1" w:themeTint="BF"/>
    </w:rPr>
  </w:style>
  <w:style w:type="character" w:customStyle="1" w:styleId="QuoteChar">
    <w:name w:val="Quote Char"/>
    <w:basedOn w:val="DefaultParagraphFont"/>
    <w:link w:val="Quote"/>
    <w:uiPriority w:val="29"/>
    <w:rsid w:val="006C69B8"/>
    <w:rPr>
      <w:i/>
      <w:iCs/>
      <w:color w:val="404040" w:themeColor="text1" w:themeTint="BF"/>
    </w:rPr>
  </w:style>
  <w:style w:type="paragraph" w:styleId="ListParagraph">
    <w:name w:val="List Paragraph"/>
    <w:basedOn w:val="Normal"/>
    <w:uiPriority w:val="34"/>
    <w:qFormat/>
    <w:rsid w:val="006C69B8"/>
    <w:pPr>
      <w:ind w:left="720"/>
      <w:contextualSpacing/>
    </w:pPr>
  </w:style>
  <w:style w:type="character" w:styleId="IntenseEmphasis">
    <w:name w:val="Intense Emphasis"/>
    <w:basedOn w:val="DefaultParagraphFont"/>
    <w:uiPriority w:val="21"/>
    <w:qFormat/>
    <w:rsid w:val="006C69B8"/>
    <w:rPr>
      <w:i/>
      <w:iCs/>
      <w:color w:val="0F4761" w:themeColor="accent1" w:themeShade="BF"/>
    </w:rPr>
  </w:style>
  <w:style w:type="paragraph" w:styleId="IntenseQuote">
    <w:name w:val="Intense Quote"/>
    <w:basedOn w:val="Normal"/>
    <w:next w:val="Normal"/>
    <w:link w:val="IntenseQuoteChar"/>
    <w:uiPriority w:val="30"/>
    <w:qFormat/>
    <w:rsid w:val="006C6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9B8"/>
    <w:rPr>
      <w:i/>
      <w:iCs/>
      <w:color w:val="0F4761" w:themeColor="accent1" w:themeShade="BF"/>
    </w:rPr>
  </w:style>
  <w:style w:type="character" w:styleId="IntenseReference">
    <w:name w:val="Intense Reference"/>
    <w:basedOn w:val="DefaultParagraphFont"/>
    <w:uiPriority w:val="32"/>
    <w:qFormat/>
    <w:rsid w:val="006C69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806</Words>
  <Characters>4025</Characters>
  <Application>Microsoft Office Word</Application>
  <DocSecurity>0</DocSecurity>
  <Lines>111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Dobson</dc:creator>
  <cp:keywords/>
  <dc:description/>
  <cp:lastModifiedBy>Lindsay Dobson</cp:lastModifiedBy>
  <cp:revision>2</cp:revision>
  <dcterms:created xsi:type="dcterms:W3CDTF">2026-01-14T22:19:00Z</dcterms:created>
  <dcterms:modified xsi:type="dcterms:W3CDTF">2026-01-15T02:13:00Z</dcterms:modified>
</cp:coreProperties>
</file>